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A4" w:rsidRDefault="00E869A4" w:rsidP="0033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02E9" w:rsidRPr="003E3BE9" w:rsidRDefault="00E869A4" w:rsidP="0033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2383790"/>
            <wp:effectExtent l="19050" t="0" r="6985" b="0"/>
            <wp:docPr id="1" name="Рисунок 0" descr="ta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2E9" w:rsidRPr="003E3BE9" w:rsidRDefault="003302E9" w:rsidP="003302E9">
      <w:pPr>
        <w:spacing w:after="0" w:line="240" w:lineRule="auto"/>
        <w:ind w:right="991"/>
        <w:rPr>
          <w:rFonts w:ascii="Times New Roman" w:hAnsi="Times New Roman" w:cs="Times New Roman"/>
          <w:sz w:val="24"/>
          <w:szCs w:val="24"/>
          <w:lang w:val="kk-KZ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869A4" w:rsidRDefault="00E869A4" w:rsidP="00E869A4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caps/>
          <w:spacing w:val="24"/>
          <w:sz w:val="24"/>
          <w:szCs w:val="24"/>
          <w:lang w:val="en-US"/>
        </w:rPr>
      </w:pPr>
    </w:p>
    <w:p w:rsidR="00E869A4" w:rsidRDefault="00E869A4" w:rsidP="00E869A4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caps/>
          <w:spacing w:val="24"/>
          <w:sz w:val="24"/>
          <w:szCs w:val="24"/>
          <w:lang w:val="en-US"/>
        </w:rPr>
      </w:pPr>
    </w:p>
    <w:p w:rsidR="003302E9" w:rsidRPr="00E869A4" w:rsidRDefault="003302E9" w:rsidP="00E869A4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caps/>
          <w:spacing w:val="24"/>
          <w:sz w:val="24"/>
          <w:szCs w:val="24"/>
          <w:lang w:val="kk-KZ"/>
        </w:rPr>
      </w:pPr>
      <w:r w:rsidRPr="00E869A4">
        <w:rPr>
          <w:bCs w:val="0"/>
          <w:caps/>
          <w:spacing w:val="24"/>
          <w:sz w:val="24"/>
          <w:szCs w:val="24"/>
          <w:lang w:val="kk-KZ"/>
        </w:rPr>
        <w:t>ӨКІМДІК ҚҰЖАТТАМАНЫҢ ҚҰРАМЫ</w:t>
      </w:r>
    </w:p>
    <w:p w:rsidR="003E3BE9" w:rsidRPr="003E3BE9" w:rsidRDefault="003E3BE9" w:rsidP="003302E9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aps/>
          <w:spacing w:val="24"/>
          <w:sz w:val="24"/>
          <w:szCs w:val="24"/>
          <w:lang w:val="kk-KZ"/>
        </w:rPr>
      </w:pPr>
    </w:p>
    <w:p w:rsidR="003302E9" w:rsidRPr="00E869A4" w:rsidRDefault="003302E9" w:rsidP="003302E9">
      <w:pPr>
        <w:pStyle w:val="a4"/>
        <w:shd w:val="clear" w:color="auto" w:fill="FFFFFF"/>
        <w:spacing w:before="0" w:beforeAutospacing="0" w:after="0" w:afterAutospacing="0"/>
        <w:rPr>
          <w:lang w:val="kk-KZ"/>
        </w:rPr>
      </w:pPr>
      <w:r w:rsidRPr="003E3BE9">
        <w:rPr>
          <w:lang w:val="kk-KZ"/>
        </w:rPr>
        <w:t>Өкімдік құжаттамаға мыналар жатады</w:t>
      </w:r>
      <w:r w:rsidRPr="00E869A4">
        <w:rPr>
          <w:lang w:val="kk-KZ"/>
        </w:rPr>
        <w:t>:</w:t>
      </w:r>
    </w:p>
    <w:p w:rsidR="003302E9" w:rsidRPr="003E3BE9" w:rsidRDefault="003302E9" w:rsidP="003302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>қаулылар</w:t>
      </w:r>
      <w:r w:rsidRPr="003E3BE9">
        <w:rPr>
          <w:rFonts w:ascii="Times New Roman" w:hAnsi="Times New Roman" w:cs="Times New Roman"/>
          <w:sz w:val="24"/>
          <w:szCs w:val="24"/>
        </w:rPr>
        <w:t>;</w:t>
      </w:r>
    </w:p>
    <w:p w:rsidR="003302E9" w:rsidRPr="003E3BE9" w:rsidRDefault="003302E9" w:rsidP="003302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>шешімдер</w:t>
      </w:r>
      <w:r w:rsidRPr="003E3BE9">
        <w:rPr>
          <w:rFonts w:ascii="Times New Roman" w:hAnsi="Times New Roman" w:cs="Times New Roman"/>
          <w:sz w:val="24"/>
          <w:szCs w:val="24"/>
        </w:rPr>
        <w:t>;</w:t>
      </w:r>
    </w:p>
    <w:p w:rsidR="003302E9" w:rsidRPr="003E3BE9" w:rsidRDefault="003302E9" w:rsidP="003302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>бұйрықтар</w:t>
      </w:r>
      <w:r w:rsidRPr="003E3BE9">
        <w:rPr>
          <w:rFonts w:ascii="Times New Roman" w:hAnsi="Times New Roman" w:cs="Times New Roman"/>
          <w:sz w:val="24"/>
          <w:szCs w:val="24"/>
        </w:rPr>
        <w:t>;</w:t>
      </w:r>
    </w:p>
    <w:p w:rsidR="003302E9" w:rsidRPr="003E3BE9" w:rsidRDefault="003302E9" w:rsidP="003302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>өкімдер</w:t>
      </w:r>
      <w:r w:rsidRPr="003E3BE9">
        <w:rPr>
          <w:rFonts w:ascii="Times New Roman" w:hAnsi="Times New Roman" w:cs="Times New Roman"/>
          <w:sz w:val="24"/>
          <w:szCs w:val="24"/>
        </w:rPr>
        <w:t>;</w:t>
      </w:r>
    </w:p>
    <w:p w:rsidR="003302E9" w:rsidRPr="00E869A4" w:rsidRDefault="003302E9" w:rsidP="003302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>нұсқаулар</w:t>
      </w:r>
      <w:r w:rsidRPr="003E3BE9">
        <w:rPr>
          <w:rFonts w:ascii="Times New Roman" w:hAnsi="Times New Roman" w:cs="Times New Roman"/>
          <w:sz w:val="24"/>
          <w:szCs w:val="24"/>
        </w:rPr>
        <w:t>.</w:t>
      </w:r>
    </w:p>
    <w:p w:rsidR="00E869A4" w:rsidRPr="003E3BE9" w:rsidRDefault="00E869A4" w:rsidP="00E869A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02E9" w:rsidRPr="003E3BE9" w:rsidRDefault="003302E9" w:rsidP="003E3BE9">
      <w:pPr>
        <w:pStyle w:val="a4"/>
        <w:shd w:val="clear" w:color="auto" w:fill="FFFFFF"/>
        <w:spacing w:before="0" w:beforeAutospacing="0" w:after="0" w:afterAutospacing="0"/>
        <w:jc w:val="both"/>
      </w:pPr>
      <w:r w:rsidRPr="003E3BE9">
        <w:rPr>
          <w:rStyle w:val="a6"/>
          <w:lang w:val="kk-KZ"/>
        </w:rPr>
        <w:t>Қаулы</w:t>
      </w:r>
      <w:r w:rsidRPr="003E3BE9">
        <w:rPr>
          <w:rStyle w:val="apple-converted-space"/>
        </w:rPr>
        <w:t> </w:t>
      </w:r>
      <w:r w:rsidRPr="003E3BE9">
        <w:t xml:space="preserve">– </w:t>
      </w:r>
      <w:r w:rsidRPr="003E3BE9">
        <w:rPr>
          <w:lang w:val="kk-KZ"/>
        </w:rPr>
        <w:t>жоғары және бірнеше орталық алқалы басқару органдарыөздерінің алдарында тұрғаннеғұрлым маңызды әрі түбегейлі міндеттердішешу және тұрақты нормаларды, мінез-құлық ережелерін белгілеу мақсатында  қабылдайтын құқықтық акт</w:t>
      </w:r>
      <w:r w:rsidRPr="003E3BE9">
        <w:t>.</w:t>
      </w:r>
    </w:p>
    <w:p w:rsidR="003302E9" w:rsidRPr="003E3BE9" w:rsidRDefault="003302E9" w:rsidP="003302E9">
      <w:pPr>
        <w:pStyle w:val="a4"/>
        <w:shd w:val="clear" w:color="auto" w:fill="FFFFFF"/>
        <w:spacing w:before="0" w:beforeAutospacing="0" w:after="0" w:afterAutospacing="0"/>
      </w:pPr>
      <w:r w:rsidRPr="003E3BE9">
        <w:rPr>
          <w:rStyle w:val="a6"/>
          <w:lang w:val="kk-KZ"/>
        </w:rPr>
        <w:t>Шешім</w:t>
      </w:r>
      <w:r w:rsidRPr="003E3BE9">
        <w:rPr>
          <w:rStyle w:val="apple-converted-space"/>
        </w:rPr>
        <w:t> </w:t>
      </w:r>
      <w:r w:rsidRPr="003E3BE9">
        <w:t xml:space="preserve">– </w:t>
      </w:r>
      <w:r w:rsidRPr="003E3BE9">
        <w:rPr>
          <w:lang w:val="kk-KZ"/>
        </w:rPr>
        <w:t xml:space="preserve">министрліктердің, ведомстволардың, комитеттердің, қоғамдық ұйымдардың, ҒЗИ ғылыми кеңестерінің, жоғары оқу орындарының, сондай-ақ кәсіпорындардың директорлар кеңестерінің алқалы немесе кеңестік органының өз қызметі барысындағы неғұрлым маңызды мәселелердішешу мақсатында шығаратын құқықтық актісі. </w:t>
      </w:r>
    </w:p>
    <w:p w:rsidR="003302E9" w:rsidRPr="003E3BE9" w:rsidRDefault="003302E9" w:rsidP="003E3BE9">
      <w:pPr>
        <w:pStyle w:val="a4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3E3BE9">
        <w:rPr>
          <w:rStyle w:val="a6"/>
          <w:lang w:val="kk-KZ"/>
        </w:rPr>
        <w:t>Бұйрық</w:t>
      </w:r>
      <w:r w:rsidRPr="003E3BE9">
        <w:rPr>
          <w:rStyle w:val="apple-converted-space"/>
        </w:rPr>
        <w:t> </w:t>
      </w:r>
      <w:r w:rsidRPr="003E3BE9">
        <w:t xml:space="preserve">– </w:t>
      </w:r>
      <w:r w:rsidRPr="003E3BE9">
        <w:rPr>
          <w:lang w:val="kk-KZ"/>
        </w:rPr>
        <w:t>дара басшылық негізіндеіс-қимыл жасайтын мемлекеттік басқару органы (оның құрылымдық бөлімшесі) басшысының осы органның алдында тұрған негізгі және жедел міндеттерді шешу мақсатында шығарат</w:t>
      </w:r>
      <w:r w:rsidR="003E3BE9">
        <w:rPr>
          <w:lang w:val="kk-KZ"/>
        </w:rPr>
        <w:t>ын құқықтық акт</w:t>
      </w:r>
      <w:r w:rsidRPr="003E3BE9">
        <w:rPr>
          <w:lang w:val="kk-KZ"/>
        </w:rPr>
        <w:t xml:space="preserve">. Жекелеген жағдайларда бағыныштылығына қарамастан   ұйымдағы көптеген адамдарға және лауазымды тұлғаларға қатысты болуы мүмкін. </w:t>
      </w:r>
    </w:p>
    <w:p w:rsidR="003302E9" w:rsidRPr="003E3BE9" w:rsidRDefault="003302E9" w:rsidP="003302E9">
      <w:pPr>
        <w:pStyle w:val="a4"/>
        <w:shd w:val="clear" w:color="auto" w:fill="FFFFFF"/>
        <w:spacing w:before="0" w:beforeAutospacing="0" w:after="0" w:afterAutospacing="0"/>
        <w:rPr>
          <w:lang w:val="kk-KZ"/>
        </w:rPr>
      </w:pPr>
      <w:r w:rsidRPr="003E3BE9">
        <w:rPr>
          <w:rStyle w:val="a6"/>
          <w:lang w:val="kk-KZ"/>
        </w:rPr>
        <w:t>Өкім</w:t>
      </w:r>
      <w:r w:rsidRPr="003E3BE9">
        <w:rPr>
          <w:rStyle w:val="apple-converted-space"/>
          <w:lang w:val="kk-KZ"/>
        </w:rPr>
        <w:t> </w:t>
      </w:r>
      <w:r w:rsidRPr="003E3BE9">
        <w:rPr>
          <w:lang w:val="kk-KZ"/>
        </w:rPr>
        <w:t xml:space="preserve">– негізінен, алқалы мемлекеттік басқару органы басшысының жедел мәселелердішешу мақсатында жеке-дарашығаратын құқықтық актісі. Әдетте, оның қолданылу күшінің мерзімі шектеулі болады және ұйымның, лауазымды тұлғалар мен азаматтардың аз ғана тобына қатысты болады. </w:t>
      </w:r>
    </w:p>
    <w:p w:rsidR="003302E9" w:rsidRPr="003E3BE9" w:rsidRDefault="003302E9" w:rsidP="003302E9">
      <w:pPr>
        <w:pStyle w:val="a4"/>
        <w:shd w:val="clear" w:color="auto" w:fill="FFFFFF"/>
        <w:spacing w:before="0" w:beforeAutospacing="0" w:after="0" w:afterAutospacing="0"/>
        <w:rPr>
          <w:lang w:val="kk-KZ"/>
        </w:rPr>
      </w:pPr>
      <w:r w:rsidRPr="003E3BE9">
        <w:rPr>
          <w:rStyle w:val="a6"/>
          <w:lang w:val="kk-KZ"/>
        </w:rPr>
        <w:t>Нұсқау</w:t>
      </w:r>
      <w:r w:rsidRPr="003E3BE9">
        <w:rPr>
          <w:rStyle w:val="apple-converted-space"/>
          <w:lang w:val="kk-KZ"/>
        </w:rPr>
        <w:t> </w:t>
      </w:r>
      <w:r w:rsidRPr="003E3BE9">
        <w:rPr>
          <w:lang w:val="kk-KZ"/>
        </w:rPr>
        <w:t xml:space="preserve">– мемлекеттік басқару органының ақпараттық-әдістемелік сипаттағы мәселелер бойынша,сондай-ақ аталған орган мен жоғары тұрған басқарушы органдардың бұйрықтарының, нұсқаулықтарының және басқа актілерінің орындалуын ұйымдастыруға байланысты мәселелер бойынша шығаратын құқықтық актісі.  </w:t>
      </w:r>
    </w:p>
    <w:p w:rsidR="003302E9" w:rsidRPr="003E3BE9" w:rsidRDefault="003E3BE9" w:rsidP="003E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BE9">
        <w:rPr>
          <w:rFonts w:ascii="Times New Roman" w:hAnsi="Times New Roman" w:cs="Times New Roman"/>
          <w:b/>
          <w:sz w:val="24"/>
          <w:szCs w:val="24"/>
          <w:lang w:val="kk-KZ"/>
        </w:rPr>
        <w:t>КЕСТЕ</w:t>
      </w:r>
    </w:p>
    <w:p w:rsidR="003E3BE9" w:rsidRDefault="003E3BE9" w:rsidP="003E3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BE9">
        <w:rPr>
          <w:rFonts w:ascii="Times New Roman" w:hAnsi="Times New Roman" w:cs="Times New Roman"/>
          <w:b/>
          <w:sz w:val="24"/>
          <w:szCs w:val="24"/>
          <w:lang w:val="kk-KZ"/>
        </w:rPr>
        <w:t>Өкімдік құжаттардың мәтінін ресімдеу</w:t>
      </w:r>
    </w:p>
    <w:p w:rsidR="003E3BE9" w:rsidRPr="003E3BE9" w:rsidRDefault="003E3BE9" w:rsidP="003E3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9"/>
        <w:tblW w:w="0" w:type="auto"/>
        <w:tblLook w:val="04A0"/>
      </w:tblPr>
      <w:tblGrid>
        <w:gridCol w:w="2093"/>
        <w:gridCol w:w="8612"/>
      </w:tblGrid>
      <w:tr w:rsidR="003E3BE9" w:rsidTr="003E3BE9">
        <w:tc>
          <w:tcPr>
            <w:tcW w:w="2093" w:type="dxa"/>
          </w:tcPr>
          <w:p w:rsidR="003E3BE9" w:rsidRPr="00CE420A" w:rsidRDefault="003E3BE9" w:rsidP="003E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4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Өкімдік құжаттың түрі</w:t>
            </w:r>
          </w:p>
        </w:tc>
        <w:tc>
          <w:tcPr>
            <w:tcW w:w="8612" w:type="dxa"/>
          </w:tcPr>
          <w:p w:rsidR="003E3BE9" w:rsidRPr="00CE420A" w:rsidRDefault="003E3BE9" w:rsidP="003E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4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ресімдеу ерекшеліктері</w:t>
            </w:r>
          </w:p>
        </w:tc>
      </w:tr>
      <w:tr w:rsidR="003E3BE9" w:rsidTr="003E3BE9">
        <w:tc>
          <w:tcPr>
            <w:tcW w:w="2093" w:type="dxa"/>
          </w:tcPr>
          <w:p w:rsidR="003E3BE9" w:rsidRPr="00CE420A" w:rsidRDefault="003E3BE9" w:rsidP="003302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4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Қаулы</w:t>
            </w:r>
          </w:p>
        </w:tc>
        <w:tc>
          <w:tcPr>
            <w:tcW w:w="861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мынадай екі: айқындаушы (кіріспе) және өкімдік бөліктен тұрады. Егер өкім</w:t>
            </w:r>
            <w:r w:rsidR="00CE42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берілетін іс-қимылдар түсіндіруді қажет етпесе, о</w:t>
            </w:r>
            <w:r w:rsidR="00CE42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нды кіріспе бөліктің болмауы 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мүмкін. Ұйғарым алқалы орган атынан қабылданатын болғандықтан, 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мәтіннің бөліктері бір-бірінен үшінші жақта тұратын «қаулы етеді» деген сөзбен бөлініп, ажыратылады. Басқару</w:t>
            </w:r>
            <w:r w:rsidR="00CE42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шешімдер</w:t>
            </w:r>
            <w:r w:rsidR="0094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араб сандарымен нөмірленеді.</w:t>
            </w:r>
          </w:p>
          <w:p w:rsidR="003E3BE9" w:rsidRDefault="003E3BE9" w:rsidP="00330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3BE9" w:rsidTr="003E3BE9">
        <w:tc>
          <w:tcPr>
            <w:tcW w:w="2093" w:type="dxa"/>
          </w:tcPr>
          <w:p w:rsidR="003E3BE9" w:rsidRPr="00A6793A" w:rsidRDefault="00947C9E" w:rsidP="003302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9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Шешім</w:t>
            </w:r>
          </w:p>
        </w:tc>
        <w:tc>
          <w:tcPr>
            <w:tcW w:w="8612" w:type="dxa"/>
          </w:tcPr>
          <w:p w:rsidR="003E3BE9" w:rsidRDefault="00947C9E" w:rsidP="0094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мәтіні қаулы мәтіні секілді ресімделеді, тек мәтіннің бөліктері бір-бірінен «шешті»деген сөзбен бөлініп, ажыратылады. Басқару шешімдері араб сандарымен нөмірленеді.</w:t>
            </w:r>
          </w:p>
        </w:tc>
      </w:tr>
      <w:tr w:rsidR="003E3BE9" w:rsidTr="003E3BE9">
        <w:tc>
          <w:tcPr>
            <w:tcW w:w="2093" w:type="dxa"/>
          </w:tcPr>
          <w:p w:rsidR="003E3BE9" w:rsidRPr="00CC511B" w:rsidRDefault="00A6793A" w:rsidP="003302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8612" w:type="dxa"/>
          </w:tcPr>
          <w:p w:rsidR="003E3BE9" w:rsidRDefault="00A6793A" w:rsidP="00330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мынадай екі: айқындаушы және өкімдік бөліктен тұрады. Екі бөліктің де болуы міндетті: басқару шешімін басшы жеке-дара қабылдайтын болғандықтан, олар бір-бірінен бірінші жақта тұратын «бұйырамын» деген сөзбен бөлініп, ажыратылады. Басқару шешімдері араб сандарымен нөмірленеді.</w:t>
            </w:r>
          </w:p>
        </w:tc>
      </w:tr>
      <w:tr w:rsidR="003E3BE9" w:rsidTr="003E3BE9">
        <w:tc>
          <w:tcPr>
            <w:tcW w:w="2093" w:type="dxa"/>
          </w:tcPr>
          <w:p w:rsidR="003E3BE9" w:rsidRPr="00CC511B" w:rsidRDefault="00CC511B" w:rsidP="003302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Өкім</w:t>
            </w:r>
          </w:p>
        </w:tc>
        <w:tc>
          <w:tcPr>
            <w:tcW w:w="8612" w:type="dxa"/>
          </w:tcPr>
          <w:p w:rsidR="003E3BE9" w:rsidRDefault="00CC511B" w:rsidP="00CC5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Өкімнің мәтіні бұйрық мәтіні секілді ресімделеді, бірақ өкімдік бөлік пен бөліктерді бір-бірінен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тұратын 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болмауы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мүмкін. «Өкім етемін»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деген </w:t>
            </w: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жазылмайды:  тіпті мәтін айқындаушы және өкімдік бөліктен тұрса да, олар бір-бірінен қос нүктемен немесе «міндеттеймін» және «ұсынамын» деген сөздермен ажыратылады. Басқару шешімдері араб сандарымен нөмірленеді.</w:t>
            </w:r>
          </w:p>
        </w:tc>
      </w:tr>
      <w:tr w:rsidR="003E3BE9" w:rsidTr="003E3BE9">
        <w:tc>
          <w:tcPr>
            <w:tcW w:w="2093" w:type="dxa"/>
          </w:tcPr>
          <w:p w:rsidR="003E3BE9" w:rsidRPr="00CC511B" w:rsidRDefault="00CC511B" w:rsidP="003302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</w:t>
            </w:r>
          </w:p>
        </w:tc>
        <w:tc>
          <w:tcPr>
            <w:tcW w:w="8612" w:type="dxa"/>
          </w:tcPr>
          <w:p w:rsidR="003E3BE9" w:rsidRDefault="00CC511B" w:rsidP="00330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 мәтіні бұйрық мәтіні секілді ресімделеді, мәтіннің бөліктері бір-бірінен «нұсқаймын» сөзі арқылы бөлініп, ажыратылады. Басқару шешімдері араб сандарымен нөмірленеді.</w:t>
            </w:r>
          </w:p>
        </w:tc>
      </w:tr>
    </w:tbl>
    <w:p w:rsidR="003E3BE9" w:rsidRDefault="003E3BE9" w:rsidP="0033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00BC" w:rsidRDefault="00E164AD" w:rsidP="002A0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64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■</w:t>
      </w:r>
      <w:r w:rsidR="003302E9" w:rsidRPr="00E164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Бұйрық </w:t>
      </w:r>
      <w:r w:rsidR="003302E9" w:rsidRPr="003E3BE9">
        <w:rPr>
          <w:rFonts w:ascii="Times New Roman" w:hAnsi="Times New Roman" w:cs="Times New Roman"/>
          <w:sz w:val="24"/>
          <w:szCs w:val="24"/>
          <w:lang w:val="kk-KZ"/>
        </w:rPr>
        <w:t>– жеке-дара іс-қимыл жасайтын ұйым басшысының ұйым қызметін реттеу мақса</w:t>
      </w:r>
      <w:r w:rsidR="00CC511B">
        <w:rPr>
          <w:rFonts w:ascii="Times New Roman" w:hAnsi="Times New Roman" w:cs="Times New Roman"/>
          <w:sz w:val="24"/>
          <w:szCs w:val="24"/>
          <w:lang w:val="kk-KZ"/>
        </w:rPr>
        <w:t>тында қабылдайтын құқықтық акт</w:t>
      </w:r>
      <w:r w:rsidR="003302E9" w:rsidRPr="003E3BE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302E9" w:rsidRPr="002A00BC" w:rsidRDefault="003302E9" w:rsidP="001D5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3BE9">
        <w:rPr>
          <w:rFonts w:ascii="Times New Roman" w:hAnsi="Times New Roman" w:cs="Times New Roman"/>
          <w:sz w:val="24"/>
          <w:szCs w:val="24"/>
          <w:lang w:val="kk-KZ"/>
        </w:rPr>
        <w:t>Бұйрық барлық өкімдік құжаттардың ішінде</w:t>
      </w:r>
      <w:r w:rsidR="002A00BC">
        <w:rPr>
          <w:rFonts w:ascii="Times New Roman" w:hAnsi="Times New Roman" w:cs="Times New Roman"/>
          <w:sz w:val="24"/>
          <w:szCs w:val="24"/>
          <w:lang w:val="kk-KZ"/>
        </w:rPr>
        <w:t>гі неғұрлым көп таралған түрі</w:t>
      </w:r>
      <w:r w:rsidRPr="003E3BE9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табылады. Тіпті ең кішкентай ұйымның өзінде де бұйрықтардың (өкімдік құжаттардың басқа түрлеріне қарағанда) қажетті </w:t>
      </w:r>
      <w:r w:rsidR="00622717">
        <w:rPr>
          <w:rFonts w:ascii="Times New Roman" w:hAnsi="Times New Roman" w:cs="Times New Roman"/>
          <w:sz w:val="24"/>
          <w:szCs w:val="24"/>
          <w:lang w:val="kk-KZ"/>
        </w:rPr>
        <w:t>көлемі кездеседі</w:t>
      </w:r>
      <w:r w:rsidRPr="003E3BE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Бұйрықтардың мынадай түрлері бар: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негізгі қызмет бойынша;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әкімшілік-шаруашылық қызмет (ӘШҚ) бойынша;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жеке құрам бойынша.</w:t>
      </w:r>
    </w:p>
    <w:p w:rsidR="00E869A4" w:rsidRDefault="00E869A4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302E9" w:rsidRPr="003E3BE9" w:rsidRDefault="002A00BC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ӘШҚ бойынша бұйрықтарға</w:t>
      </w:r>
      <w:r w:rsidR="003302E9"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қызметтің ішкі тәртібі ережелерін сақтауға;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ғимараттар мен орын-жайларды пайдалануға</w:t>
      </w: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</w:t>
      </w:r>
      <w:proofErr w:type="gramStart"/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proofErr w:type="gramEnd"/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іктік қамтамасыз ету, ішкі байланысқа</w:t>
      </w: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ұйымның қауіпсіздігін қамтамасыз етуге қатысты бұйрықтар жатады</w:t>
      </w: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>■ Өкі</w:t>
      </w:r>
      <w:proofErr w:type="gramStart"/>
      <w:r w:rsidRPr="003E3B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B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Ұйым басшысы бұйрықпен қатар өкім де шығара алады, сонымен қатар топ-менеджерлерді қадағалайтын бағыттары бойынша өкім шығаруға мерзімі шектелмеген құқық бере алады. Бұл ретте әрбір өкім осы бағыттардың: дирекцияның, департаменттің, басқарманың аясында әрекет етеді. </w:t>
      </w:r>
    </w:p>
    <w:p w:rsidR="003302E9" w:rsidRPr="003E3BE9" w:rsidRDefault="003302E9" w:rsidP="00330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33C3" w:rsidRPr="003E3BE9" w:rsidRDefault="000233C3" w:rsidP="0033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0233C3" w:rsidRPr="003E3BE9" w:rsidSect="00E869A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D6516"/>
    <w:multiLevelType w:val="multilevel"/>
    <w:tmpl w:val="867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3AE8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D94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5374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0BC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02E9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3BE9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3AE8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717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C9E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05D81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6793A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11B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20A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64A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69A4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E27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E9"/>
  </w:style>
  <w:style w:type="paragraph" w:styleId="3">
    <w:name w:val="heading 3"/>
    <w:basedOn w:val="a"/>
    <w:link w:val="30"/>
    <w:uiPriority w:val="9"/>
    <w:semiHidden/>
    <w:unhideWhenUsed/>
    <w:qFormat/>
    <w:rsid w:val="00330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0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02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02E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302E9"/>
  </w:style>
  <w:style w:type="character" w:styleId="a6">
    <w:name w:val="Strong"/>
    <w:basedOn w:val="a0"/>
    <w:uiPriority w:val="22"/>
    <w:qFormat/>
    <w:rsid w:val="003302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2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E9"/>
  </w:style>
  <w:style w:type="paragraph" w:styleId="3">
    <w:name w:val="heading 3"/>
    <w:basedOn w:val="a"/>
    <w:link w:val="30"/>
    <w:uiPriority w:val="9"/>
    <w:semiHidden/>
    <w:unhideWhenUsed/>
    <w:qFormat/>
    <w:rsid w:val="00330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0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02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02E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302E9"/>
  </w:style>
  <w:style w:type="character" w:styleId="a6">
    <w:name w:val="Strong"/>
    <w:basedOn w:val="a0"/>
    <w:uiPriority w:val="22"/>
    <w:qFormat/>
    <w:rsid w:val="003302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2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E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7AB4-F8B7-4FE7-8728-D2267FC1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2018-05-01T17:41:00Z</dcterms:created>
  <dcterms:modified xsi:type="dcterms:W3CDTF">2018-05-01T17:41:00Z</dcterms:modified>
</cp:coreProperties>
</file>