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EF" w:rsidRDefault="007E53EF" w:rsidP="00722871">
      <w:pPr>
        <w:pStyle w:val="10"/>
        <w:spacing w:before="0"/>
        <w:ind w:left="142"/>
        <w:jc w:val="both"/>
        <w:rPr>
          <w:rFonts w:ascii="Times New Roman" w:hAnsi="Times New Roman" w:cs="Times New Roman"/>
          <w:color w:val="0070C0"/>
          <w:lang w:val="ru-RU"/>
        </w:rPr>
      </w:pPr>
      <w:bookmarkStart w:id="0" w:name="_Toc515380265"/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Міндеттерді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жүктеу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>.</w:t>
      </w:r>
      <w:bookmarkEnd w:id="0"/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vanish/>
          <w:color w:val="0070C0"/>
        </w:rPr>
      </w:pPr>
      <w:bookmarkStart w:id="1" w:name="_Toc506074494"/>
      <w:bookmarkStart w:id="2" w:name="_Toc506074953"/>
      <w:bookmarkStart w:id="3" w:name="_Toc506914370"/>
      <w:bookmarkStart w:id="4" w:name="_Toc507024374"/>
      <w:bookmarkStart w:id="5" w:name="_Toc507024830"/>
      <w:bookmarkStart w:id="6" w:name="_Toc507076798"/>
      <w:bookmarkStart w:id="7" w:name="_Toc515377872"/>
      <w:bookmarkStart w:id="8" w:name="_Toc515378351"/>
      <w:bookmarkStart w:id="9" w:name="_Toc515378826"/>
      <w:bookmarkStart w:id="10" w:name="_Toc515379300"/>
      <w:bookmarkStart w:id="11" w:name="_Toc515379781"/>
      <w:bookmarkStart w:id="12" w:name="_Toc515380266"/>
      <w:bookmarkStart w:id="13" w:name="_Toc5153802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</w:p>
    <w:p w:rsidR="007E53EF" w:rsidRDefault="007E53EF" w:rsidP="007E53EF">
      <w:pPr>
        <w:pStyle w:val="a6"/>
        <w:keepNext/>
        <w:keepLines/>
        <w:numPr>
          <w:ilvl w:val="0"/>
          <w:numId w:val="25"/>
        </w:numPr>
        <w:ind w:left="142" w:firstLine="0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</w:p>
    <w:p w:rsidR="007E53EF" w:rsidRDefault="007E53EF" w:rsidP="00722871">
      <w:pPr>
        <w:pStyle w:val="10"/>
        <w:spacing w:before="0"/>
        <w:ind w:left="142"/>
        <w:jc w:val="both"/>
        <w:rPr>
          <w:rStyle w:val="s0"/>
          <w:b w:val="0"/>
          <w:color w:val="0070C0"/>
          <w:lang w:val="ru-RU"/>
        </w:rPr>
      </w:pPr>
      <w:bookmarkStart w:id="14" w:name="_GoBack"/>
      <w:bookmarkEnd w:id="14"/>
      <w:proofErr w:type="spellStart"/>
      <w:r>
        <w:rPr>
          <w:rStyle w:val="s0"/>
          <w:b w:val="0"/>
          <w:color w:val="0070C0"/>
          <w:lang w:val="ru-RU"/>
        </w:rPr>
        <w:t>Лауазымдарды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қоса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атқару</w:t>
      </w:r>
      <w:proofErr w:type="spellEnd"/>
      <w:r>
        <w:rPr>
          <w:rStyle w:val="s0"/>
          <w:b w:val="0"/>
          <w:color w:val="0070C0"/>
          <w:lang w:val="ru-RU"/>
        </w:rPr>
        <w:t xml:space="preserve"> – </w:t>
      </w:r>
      <w:proofErr w:type="spellStart"/>
      <w:r>
        <w:rPr>
          <w:rStyle w:val="s0"/>
          <w:b w:val="0"/>
          <w:color w:val="0070C0"/>
          <w:lang w:val="ru-RU"/>
        </w:rPr>
        <w:t>жұмыскердің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еңбек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шартында</w:t>
      </w:r>
      <w:proofErr w:type="spellEnd"/>
      <w:r>
        <w:rPr>
          <w:rStyle w:val="s0"/>
          <w:b w:val="0"/>
          <w:color w:val="0070C0"/>
          <w:lang w:val="ru-RU"/>
        </w:rPr>
        <w:t xml:space="preserve"> (</w:t>
      </w:r>
      <w:proofErr w:type="spellStart"/>
      <w:r>
        <w:rPr>
          <w:rStyle w:val="s0"/>
          <w:b w:val="0"/>
          <w:color w:val="0070C0"/>
          <w:lang w:val="ru-RU"/>
        </w:rPr>
        <w:t>лауазымдық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нұсқаулықта</w:t>
      </w:r>
      <w:proofErr w:type="spellEnd"/>
      <w:r>
        <w:rPr>
          <w:rStyle w:val="s0"/>
          <w:b w:val="0"/>
          <w:color w:val="0070C0"/>
          <w:lang w:val="ru-RU"/>
        </w:rPr>
        <w:t xml:space="preserve">) </w:t>
      </w:r>
      <w:proofErr w:type="spellStart"/>
      <w:r>
        <w:rPr>
          <w:rStyle w:val="s0"/>
          <w:b w:val="0"/>
          <w:color w:val="0070C0"/>
          <w:lang w:val="ru-RU"/>
        </w:rPr>
        <w:t>көзделген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өзінің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негізгі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жұмысымен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қатар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proofErr w:type="gramStart"/>
      <w:r>
        <w:rPr>
          <w:rStyle w:val="s0"/>
          <w:b w:val="0"/>
          <w:color w:val="0070C0"/>
          <w:lang w:val="ru-RU"/>
        </w:rPr>
        <w:t>бас</w:t>
      </w:r>
      <w:proofErr w:type="gramEnd"/>
      <w:r>
        <w:rPr>
          <w:rStyle w:val="s0"/>
          <w:b w:val="0"/>
          <w:color w:val="0070C0"/>
          <w:lang w:val="ru-RU"/>
        </w:rPr>
        <w:t>қа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лауазым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бойынша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қосымша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жұмысты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орындауы</w:t>
      </w:r>
      <w:proofErr w:type="spellEnd"/>
      <w:r>
        <w:rPr>
          <w:rStyle w:val="s0"/>
          <w:b w:val="0"/>
          <w:color w:val="0070C0"/>
          <w:lang w:val="ru-RU"/>
        </w:rPr>
        <w:t>.</w:t>
      </w:r>
      <w:bookmarkEnd w:id="13"/>
    </w:p>
    <w:p w:rsidR="007E53EF" w:rsidRPr="007E53EF" w:rsidRDefault="007E53EF" w:rsidP="007E53EF">
      <w:pPr>
        <w:pStyle w:val="a6"/>
        <w:keepNext/>
        <w:keepLines/>
        <w:numPr>
          <w:ilvl w:val="0"/>
          <w:numId w:val="12"/>
        </w:numPr>
        <w:spacing w:before="240"/>
        <w:outlineLvl w:val="0"/>
        <w:rPr>
          <w:rFonts w:eastAsiaTheme="majorEastAsia"/>
          <w:vanish/>
          <w:color w:val="000000" w:themeColor="text1"/>
          <w:lang w:val="ru-RU"/>
        </w:rPr>
      </w:pPr>
      <w:bookmarkStart w:id="15" w:name="_Toc507076808"/>
      <w:bookmarkStart w:id="16" w:name="_Toc515377882"/>
      <w:bookmarkStart w:id="17" w:name="_Toc515378361"/>
      <w:bookmarkStart w:id="18" w:name="_Toc515378836"/>
      <w:bookmarkStart w:id="19" w:name="_Toc515379310"/>
      <w:bookmarkStart w:id="20" w:name="_Toc515379791"/>
      <w:bookmarkStart w:id="21" w:name="_Toc515380276"/>
      <w:bookmarkEnd w:id="15"/>
      <w:bookmarkEnd w:id="16"/>
      <w:bookmarkEnd w:id="17"/>
      <w:bookmarkEnd w:id="18"/>
      <w:bookmarkEnd w:id="19"/>
      <w:bookmarkEnd w:id="20"/>
      <w:bookmarkEnd w:id="21"/>
    </w:p>
    <w:p w:rsidR="007E53EF" w:rsidRDefault="007E53EF" w:rsidP="007E53EF">
      <w:pPr>
        <w:pStyle w:val="a6"/>
        <w:keepNext/>
        <w:keepLines/>
        <w:numPr>
          <w:ilvl w:val="0"/>
          <w:numId w:val="12"/>
        </w:numPr>
        <w:spacing w:before="240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22" w:name="_Toc507076809"/>
      <w:bookmarkStart w:id="23" w:name="_Toc515377883"/>
      <w:bookmarkStart w:id="24" w:name="_Toc515378362"/>
      <w:bookmarkStart w:id="25" w:name="_Toc515378837"/>
      <w:bookmarkStart w:id="26" w:name="_Toc515379311"/>
      <w:bookmarkStart w:id="27" w:name="_Toc515379792"/>
      <w:bookmarkStart w:id="28" w:name="_Toc515380277"/>
      <w:bookmarkEnd w:id="22"/>
      <w:bookmarkEnd w:id="23"/>
      <w:bookmarkEnd w:id="24"/>
      <w:bookmarkEnd w:id="25"/>
      <w:bookmarkEnd w:id="26"/>
      <w:bookmarkEnd w:id="27"/>
      <w:bookmarkEnd w:id="28"/>
    </w:p>
    <w:p w:rsidR="007E53EF" w:rsidRDefault="007E53EF" w:rsidP="007E53EF">
      <w:pPr>
        <w:pStyle w:val="a6"/>
        <w:keepNext/>
        <w:keepLines/>
        <w:numPr>
          <w:ilvl w:val="0"/>
          <w:numId w:val="12"/>
        </w:numPr>
        <w:spacing w:before="240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29" w:name="_Toc507076810"/>
      <w:bookmarkStart w:id="30" w:name="_Toc515377884"/>
      <w:bookmarkStart w:id="31" w:name="_Toc515378363"/>
      <w:bookmarkStart w:id="32" w:name="_Toc515378838"/>
      <w:bookmarkStart w:id="33" w:name="_Toc515379312"/>
      <w:bookmarkStart w:id="34" w:name="_Toc515379793"/>
      <w:bookmarkStart w:id="35" w:name="_Toc515380278"/>
      <w:bookmarkEnd w:id="29"/>
      <w:bookmarkEnd w:id="30"/>
      <w:bookmarkEnd w:id="31"/>
      <w:bookmarkEnd w:id="32"/>
      <w:bookmarkEnd w:id="33"/>
      <w:bookmarkEnd w:id="34"/>
      <w:bookmarkEnd w:id="35"/>
    </w:p>
    <w:p w:rsidR="007E53EF" w:rsidRDefault="007E53EF" w:rsidP="007E53EF">
      <w:pPr>
        <w:pStyle w:val="a6"/>
        <w:keepNext/>
        <w:keepLines/>
        <w:numPr>
          <w:ilvl w:val="1"/>
          <w:numId w:val="12"/>
        </w:numPr>
        <w:spacing w:before="240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36" w:name="_Toc507076811"/>
      <w:bookmarkStart w:id="37" w:name="_Toc515377885"/>
      <w:bookmarkStart w:id="38" w:name="_Toc515378364"/>
      <w:bookmarkStart w:id="39" w:name="_Toc515378839"/>
      <w:bookmarkStart w:id="40" w:name="_Toc515379313"/>
      <w:bookmarkStart w:id="41" w:name="_Toc515379794"/>
      <w:bookmarkStart w:id="42" w:name="_Toc515380279"/>
      <w:bookmarkEnd w:id="36"/>
      <w:bookmarkEnd w:id="37"/>
      <w:bookmarkEnd w:id="38"/>
      <w:bookmarkEnd w:id="39"/>
      <w:bookmarkEnd w:id="40"/>
      <w:bookmarkEnd w:id="41"/>
      <w:bookmarkEnd w:id="42"/>
    </w:p>
    <w:p w:rsidR="007E53EF" w:rsidRDefault="007E53EF" w:rsidP="007E53EF">
      <w:pPr>
        <w:rPr>
          <w:b/>
          <w:lang w:val="ru-RU"/>
        </w:rPr>
      </w:pPr>
    </w:p>
    <w:p w:rsidR="007E53EF" w:rsidRDefault="007E53EF" w:rsidP="007E53EF">
      <w:pPr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rStyle w:val="s0"/>
          <w:rFonts w:eastAsiaTheme="majorEastAsia"/>
          <w:b/>
          <w:color w:val="000000" w:themeColor="text1"/>
          <w:lang w:val="ru-RU"/>
        </w:rPr>
        <w:t>Лауазымдарды</w:t>
      </w:r>
      <w:proofErr w:type="spellEnd"/>
      <w:r>
        <w:rPr>
          <w:rStyle w:val="s0"/>
          <w:rFonts w:eastAsiaTheme="majorEastAsia"/>
          <w:b/>
          <w:color w:val="000000" w:themeColor="text1"/>
          <w:lang w:val="ru-RU"/>
        </w:rPr>
        <w:t xml:space="preserve"> </w:t>
      </w:r>
      <w:proofErr w:type="spellStart"/>
      <w:r>
        <w:rPr>
          <w:rStyle w:val="s0"/>
          <w:rFonts w:eastAsiaTheme="majorEastAsia"/>
          <w:b/>
          <w:color w:val="000000" w:themeColor="text1"/>
          <w:lang w:val="ru-RU"/>
        </w:rPr>
        <w:t>қоса</w:t>
      </w:r>
      <w:proofErr w:type="spellEnd"/>
      <w:r>
        <w:rPr>
          <w:rStyle w:val="s0"/>
          <w:rFonts w:eastAsiaTheme="majorEastAsia"/>
          <w:b/>
          <w:color w:val="000000" w:themeColor="text1"/>
          <w:lang w:val="ru-RU"/>
        </w:rPr>
        <w:t xml:space="preserve"> </w:t>
      </w:r>
      <w:proofErr w:type="spellStart"/>
      <w:r>
        <w:rPr>
          <w:rStyle w:val="s0"/>
          <w:rFonts w:eastAsiaTheme="majorEastAsia"/>
          <w:b/>
          <w:color w:val="000000" w:themeColor="text1"/>
          <w:lang w:val="ru-RU"/>
        </w:rPr>
        <w:t>атқару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туралы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</w:p>
    <w:p w:rsidR="007E53EF" w:rsidRDefault="007E53EF" w:rsidP="007E53EF">
      <w:pPr>
        <w:tabs>
          <w:tab w:val="left" w:pos="993"/>
        </w:tabs>
        <w:ind w:firstLine="709"/>
        <w:jc w:val="both"/>
        <w:rPr>
          <w:b/>
          <w:bCs/>
          <w:color w:val="FF0000"/>
          <w:sz w:val="28"/>
          <w:szCs w:val="28"/>
          <w:lang w:val="kk-KZ"/>
        </w:rPr>
      </w:pPr>
    </w:p>
    <w:p w:rsidR="007E53EF" w:rsidRDefault="007E53EF" w:rsidP="007E53EF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Деректердің қысқаша мазмұны берілген кіріспе </w:t>
      </w:r>
    </w:p>
    <w:p w:rsidR="007E53EF" w:rsidRDefault="007E53EF" w:rsidP="007E53E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Қазақстан Республикасы Еңбек кодексінің 111-бабы 2-тармағының 1) тармақшасына сәйкес, </w:t>
      </w:r>
      <w:r>
        <w:rPr>
          <w:b/>
          <w:bCs/>
          <w:sz w:val="28"/>
          <w:szCs w:val="28"/>
          <w:lang w:val="kk-KZ"/>
        </w:rPr>
        <w:t>БҰЙЫРАМЫН</w:t>
      </w:r>
      <w:r>
        <w:rPr>
          <w:bCs/>
          <w:sz w:val="28"/>
          <w:szCs w:val="28"/>
          <w:lang w:val="kk-KZ"/>
        </w:rPr>
        <w:t xml:space="preserve">: </w:t>
      </w:r>
    </w:p>
    <w:p w:rsidR="007E53EF" w:rsidRDefault="007E53EF" w:rsidP="007E53EF">
      <w:pPr>
        <w:ind w:firstLine="709"/>
        <w:jc w:val="both"/>
        <w:rPr>
          <w:bCs/>
          <w:sz w:val="28"/>
          <w:szCs w:val="28"/>
          <w:lang w:val="kk-KZ"/>
        </w:rPr>
      </w:pPr>
    </w:p>
    <w:p w:rsidR="007E53EF" w:rsidRDefault="007E53EF" w:rsidP="007E53E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Негізгі жұмысты атқарудан босатпай 20 ___ жылғы __________  бастап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[лауазымы] [А.Ә.Т.]  [құрылымдық бөлімше] [лауазымы] міндеттемелерін орындау жүктелсін. </w:t>
      </w:r>
    </w:p>
    <w:p w:rsidR="007E53EF" w:rsidRDefault="007E53EF" w:rsidP="007E53EF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7E53EF" w:rsidRDefault="007E53EF" w:rsidP="007E53E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7E53EF" w:rsidRDefault="007E53EF" w:rsidP="007E53E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20___ жылғы _____________ қызметтік жазба. </w:t>
      </w: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</w:p>
    <w:p w:rsidR="007E53EF" w:rsidRDefault="007E53EF" w:rsidP="007E53E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7E53EF" w:rsidRDefault="007E53EF" w:rsidP="007E53EF">
      <w:pPr>
        <w:tabs>
          <w:tab w:val="left" w:pos="993"/>
        </w:tabs>
        <w:ind w:firstLine="709"/>
        <w:jc w:val="both"/>
        <w:rPr>
          <w:lang w:val="kk-KZ"/>
        </w:rPr>
      </w:pP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7E53EF" w:rsidRDefault="007E53EF" w:rsidP="007E53EF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7E53EF" w:rsidRDefault="007E53EF" w:rsidP="007E53EF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7E53EF" w:rsidRDefault="007E53EF" w:rsidP="007E53E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 бухгалтер</w:t>
      </w: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7E53EF" w:rsidRDefault="007E53EF" w:rsidP="007E53EF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7E53EF" w:rsidRDefault="007E53EF" w:rsidP="007E53E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7E53EF" w:rsidRDefault="007E53EF" w:rsidP="007E53EF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7E53EF" w:rsidRDefault="007E53EF" w:rsidP="007E53EF">
      <w:pPr>
        <w:ind w:firstLine="709"/>
        <w:rPr>
          <w:sz w:val="28"/>
          <w:szCs w:val="28"/>
          <w:lang w:val="kk-KZ"/>
        </w:rPr>
      </w:pPr>
    </w:p>
    <w:p w:rsidR="007E53EF" w:rsidRDefault="007E53EF" w:rsidP="007E53EF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7E53EF" w:rsidRDefault="007E53EF" w:rsidP="007E53E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бөлімше.</w:t>
      </w:r>
    </w:p>
    <w:p w:rsidR="007E53EF" w:rsidRDefault="007E53EF" w:rsidP="007E53EF">
      <w:pPr>
        <w:ind w:firstLine="709"/>
        <w:jc w:val="both"/>
        <w:rPr>
          <w:sz w:val="28"/>
          <w:szCs w:val="28"/>
          <w:lang w:val="kk-KZ"/>
        </w:rPr>
      </w:pPr>
    </w:p>
    <w:p w:rsidR="007E53EF" w:rsidRPr="007E53EF" w:rsidRDefault="007E53EF" w:rsidP="007E53EF">
      <w:pPr>
        <w:ind w:firstLine="709"/>
        <w:jc w:val="both"/>
        <w:rPr>
          <w:rStyle w:val="s0"/>
          <w:rFonts w:eastAsiaTheme="majorEastAsia"/>
          <w:lang w:val="kk-KZ"/>
        </w:rPr>
      </w:pPr>
      <w:r>
        <w:rPr>
          <w:sz w:val="28"/>
          <w:szCs w:val="28"/>
          <w:lang w:val="kk-KZ"/>
        </w:rPr>
        <w:t>*</w:t>
      </w:r>
      <w:r>
        <w:rPr>
          <w:lang w:val="kk-KZ"/>
        </w:rPr>
        <w:t xml:space="preserve">Ескертпе: лауазымдарды қоса атқарғаны үшін қосымша ақы мөлшерлері Ұжымдық шартпен және/немесе Еңбекке ақы төлеу қағидаларына және кәсіпорынның басқа жергілікті акт. </w:t>
      </w:r>
    </w:p>
    <w:p w:rsidR="007E53EF" w:rsidRDefault="007E53EF" w:rsidP="007E53EF">
      <w:pPr>
        <w:ind w:firstLine="709"/>
        <w:jc w:val="both"/>
        <w:rPr>
          <w:rStyle w:val="s0"/>
          <w:rFonts w:eastAsiaTheme="majorEastAsia"/>
          <w:lang w:val="kk-KZ"/>
        </w:rPr>
      </w:pPr>
    </w:p>
    <w:p w:rsidR="008B4CCC" w:rsidRPr="007E53EF" w:rsidRDefault="008B4CCC" w:rsidP="007E53EF">
      <w:pPr>
        <w:rPr>
          <w:lang w:val="kk-KZ"/>
        </w:rPr>
      </w:pPr>
    </w:p>
    <w:sectPr w:rsidR="008B4CCC" w:rsidRPr="007E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25A19"/>
    <w:rsid w:val="00030F75"/>
    <w:rsid w:val="00060FDC"/>
    <w:rsid w:val="000A0EE9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4B122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2018-12-11T11:44:00Z</dcterms:created>
  <dcterms:modified xsi:type="dcterms:W3CDTF">2018-12-13T09:11:00Z</dcterms:modified>
</cp:coreProperties>
</file>