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FA" w:rsidRPr="004859BE" w:rsidRDefault="00F24DFA" w:rsidP="00F24DFA">
      <w:pPr>
        <w:jc w:val="both"/>
        <w:rPr>
          <w:b/>
          <w:sz w:val="28"/>
          <w:szCs w:val="28"/>
        </w:rPr>
      </w:pPr>
    </w:p>
    <w:p w:rsidR="00F24DFA" w:rsidRDefault="00F24DFA" w:rsidP="00F24DFA">
      <w:pPr>
        <w:jc w:val="both"/>
        <w:rPr>
          <w:b/>
          <w:sz w:val="28"/>
          <w:szCs w:val="28"/>
          <w:lang w:val="kk-KZ"/>
        </w:rPr>
      </w:pPr>
      <w:r w:rsidRPr="00265A96">
        <w:rPr>
          <w:b/>
          <w:sz w:val="28"/>
          <w:szCs w:val="28"/>
          <w:lang w:val="kk-KZ"/>
        </w:rPr>
        <w:t>Статистикалық мәліметтердің аударылу үлгісіне назар аударыңыз:</w:t>
      </w:r>
    </w:p>
    <w:p w:rsidR="00F24DFA" w:rsidRDefault="00F24DFA" w:rsidP="00F24DFA">
      <w:pPr>
        <w:jc w:val="both"/>
        <w:rPr>
          <w:b/>
          <w:sz w:val="28"/>
          <w:szCs w:val="28"/>
          <w:lang w:val="kk-KZ"/>
        </w:rPr>
      </w:pPr>
    </w:p>
    <w:tbl>
      <w:tblPr>
        <w:tblStyle w:val="a3"/>
        <w:tblW w:w="11483" w:type="dxa"/>
        <w:tblInd w:w="-1310" w:type="dxa"/>
        <w:tblLook w:val="04A0" w:firstRow="1" w:lastRow="0" w:firstColumn="1" w:lastColumn="0" w:noHBand="0" w:noVBand="1"/>
      </w:tblPr>
      <w:tblGrid>
        <w:gridCol w:w="5671"/>
        <w:gridCol w:w="70"/>
        <w:gridCol w:w="5742"/>
      </w:tblGrid>
      <w:tr w:rsidR="00F24DFA" w:rsidRPr="00676174" w:rsidTr="00BA341B">
        <w:tc>
          <w:tcPr>
            <w:tcW w:w="5671" w:type="dxa"/>
            <w:shd w:val="clear" w:color="auto" w:fill="auto"/>
          </w:tcPr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lang w:val="kk-KZ"/>
              </w:rPr>
              <w:t>тұтынудың тұрақты өсімі байқалады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lang w:val="kk-KZ"/>
              </w:rPr>
              <w:t>өндірістің өсу қарқыны 110-112 пайызды құрамақ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color w:val="000000"/>
                <w:spacing w:val="2"/>
                <w:lang w:val="kk-KZ"/>
              </w:rPr>
              <w:t>2018 жылы туристік қызметтен түскен кіріс</w:t>
            </w:r>
            <w:r w:rsidRPr="00F84D6F">
              <w:rPr>
                <w:color w:val="000000"/>
                <w:spacing w:val="2"/>
                <w:shd w:val="clear" w:color="auto" w:fill="F4F5F6"/>
                <w:lang w:val="kk-KZ"/>
              </w:rPr>
              <w:t xml:space="preserve"> </w:t>
            </w:r>
            <w:r w:rsidRPr="00F84D6F">
              <w:rPr>
                <w:color w:val="000000"/>
                <w:spacing w:val="2"/>
                <w:lang w:val="kk-KZ"/>
              </w:rPr>
              <w:t xml:space="preserve">көлемі 151,7 млрд. теңгені құрады 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lang w:val="kk-KZ"/>
              </w:rPr>
              <w:t>17,8 миллион теңге мөлшерінде пайда</w:t>
            </w:r>
            <w:r w:rsidRPr="00F84D6F">
              <w:rPr>
                <w:b/>
                <w:lang w:val="kk-KZ"/>
              </w:rPr>
              <w:t xml:space="preserve"> </w:t>
            </w:r>
            <w:r w:rsidRPr="00F84D6F">
              <w:rPr>
                <w:lang w:val="kk-KZ"/>
              </w:rPr>
              <w:t>түсті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lang w:val="kk-KZ"/>
              </w:rPr>
              <w:t>алдын ала алынған деректер бойынша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bCs/>
                <w:lang w:val="kk-KZ"/>
              </w:rPr>
            </w:pPr>
            <w:r w:rsidRPr="00F84D6F">
              <w:rPr>
                <w:bCs/>
                <w:lang w:val="kk-KZ"/>
              </w:rPr>
              <w:t>тұрақты түрде төмендеуімен си</w:t>
            </w:r>
            <w:r w:rsidRPr="00F84D6F">
              <w:rPr>
                <w:bCs/>
                <w:lang w:val="kk-KZ"/>
              </w:rPr>
              <w:softHyphen/>
              <w:t>патталады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color w:val="000000"/>
                <w:spacing w:val="2"/>
                <w:lang w:val="kk-KZ"/>
              </w:rPr>
            </w:pPr>
            <w:r w:rsidRPr="00F84D6F">
              <w:rPr>
                <w:color w:val="000000"/>
                <w:spacing w:val="2"/>
                <w:lang w:val="kk-KZ"/>
              </w:rPr>
              <w:t>Бұл алдыңғы жылмен салыстырғанда 1,7 % артық 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color w:val="000000"/>
                <w:spacing w:val="2"/>
                <w:lang w:val="kk-KZ"/>
              </w:rPr>
              <w:t>2019 жылғы қаңтар-қыркүйектегі жағдай бойынша 5 654 орналастыру орны жұмыс істеді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color w:val="000000"/>
                <w:spacing w:val="2"/>
                <w:lang w:val="kk-KZ"/>
              </w:rPr>
              <w:t>бұл саланың әлеуеті толық іске асырылмай отыр деген қорытындыға келуге болады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lang w:val="kk-KZ"/>
              </w:rPr>
              <w:t>қызмет қорытындысы бойынша таза табыс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lang w:val="kk-KZ"/>
              </w:rPr>
              <w:t>2019 жылға қарағанда 26% - ға артық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lang w:val="kk-KZ"/>
              </w:rPr>
              <w:t>жұмыссыздық деңгейі 7-8% төмендейді деген болжам жасалды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lang w:val="kk-KZ"/>
              </w:rPr>
              <w:t>компанияның 2018 жылғы жұмыс қорытындысы мен ағымдағы жылға арналған жоспар бойынша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lang w:val="kk-KZ"/>
              </w:rPr>
              <w:t>есептік кезеңдегі қаржы-шаруашылық қызмет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bCs/>
                <w:iCs/>
                <w:lang w:val="kk-KZ"/>
              </w:rPr>
            </w:pPr>
            <w:r w:rsidRPr="00F84D6F">
              <w:rPr>
                <w:bCs/>
                <w:iCs/>
                <w:lang w:val="kk-KZ"/>
              </w:rPr>
              <w:t>2019 ж. қорытындысы бойынша электр жеткізу желілерінің жалпы ұзындығы  69 203 км құрады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bCs/>
                <w:color w:val="000000"/>
                <w:lang w:val="kk-KZ"/>
              </w:rPr>
            </w:pPr>
            <w:r w:rsidRPr="00F84D6F">
              <w:rPr>
                <w:bCs/>
                <w:color w:val="000000"/>
                <w:lang w:val="kk-KZ"/>
              </w:rPr>
              <w:t>өнімді сатудан және қызмет көрсетуден түскен табыс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iCs/>
                <w:lang w:val="kk-KZ"/>
              </w:rPr>
            </w:pPr>
            <w:r w:rsidRPr="00F84D6F">
              <w:rPr>
                <w:lang w:val="kk-KZ"/>
              </w:rPr>
              <w:t xml:space="preserve">электр энергиясын жеткізу көлемі </w:t>
            </w:r>
            <w:r w:rsidRPr="00F84D6F">
              <w:rPr>
                <w:iCs/>
                <w:lang w:val="kk-KZ"/>
              </w:rPr>
              <w:t>12 117,6 млн кВт сағ. құрады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rFonts w:ascii="Times New Roman KK EK" w:hAnsi="Times New Roman KK EK"/>
                <w:lang w:val="kk-KZ"/>
              </w:rPr>
            </w:pPr>
            <w:r w:rsidRPr="00F84D6F">
              <w:rPr>
                <w:rFonts w:ascii="Times New Roman KK EK" w:hAnsi="Times New Roman KK EK"/>
                <w:lang w:val="kk-KZ"/>
              </w:rPr>
              <w:t>импорт көлемі 1,9 млрд кВт сағатты құрады, бұл 2018 жылғы деңгейге сәйкес келеді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rStyle w:val="a4"/>
                <w:iCs/>
                <w:color w:val="000000" w:themeColor="text1"/>
                <w:lang w:val="kk-KZ"/>
              </w:rPr>
            </w:pPr>
            <w:r w:rsidRPr="00F84D6F">
              <w:rPr>
                <w:rFonts w:ascii="Times New Roman KK EK" w:hAnsi="Times New Roman KK EK"/>
                <w:lang w:val="kk-KZ"/>
              </w:rPr>
              <w:t xml:space="preserve">2019  жылы компанияның </w:t>
            </w:r>
            <w:r w:rsidRPr="00F84D6F">
              <w:rPr>
                <w:rFonts w:ascii="Times New Roman KK EK" w:hAnsi="Times New Roman KK EK"/>
                <w:b/>
                <w:lang w:val="kk-KZ"/>
              </w:rPr>
              <w:t>шамамен</w:t>
            </w:r>
            <w:r w:rsidRPr="00F84D6F">
              <w:rPr>
                <w:rFonts w:ascii="Times New Roman KK EK" w:hAnsi="Times New Roman KK EK"/>
                <w:lang w:val="kk-KZ"/>
              </w:rPr>
              <w:t xml:space="preserve"> 7,4 млрд. теңге күрделі қаржы жұмсалымы игерілді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lang w:val="kk-KZ"/>
              </w:rPr>
              <w:t xml:space="preserve">наблюдается стабильный рост потребления 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lang w:val="kk-KZ"/>
              </w:rPr>
              <w:t xml:space="preserve">темп роста производства будет составлять 110-112 </w:t>
            </w:r>
            <w:r w:rsidRPr="00F84D6F">
              <w:t>%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color w:val="000000"/>
                <w:spacing w:val="2"/>
              </w:rPr>
              <w:t>201</w:t>
            </w:r>
            <w:r w:rsidRPr="00F84D6F">
              <w:rPr>
                <w:color w:val="000000"/>
                <w:spacing w:val="2"/>
                <w:lang w:val="kk-KZ"/>
              </w:rPr>
              <w:t>8</w:t>
            </w:r>
            <w:r w:rsidRPr="00F84D6F">
              <w:rPr>
                <w:color w:val="000000"/>
                <w:spacing w:val="2"/>
              </w:rPr>
              <w:t xml:space="preserve"> году объем доходов от туристской</w:t>
            </w:r>
            <w:r w:rsidRPr="00F84D6F">
              <w:rPr>
                <w:color w:val="000000"/>
                <w:spacing w:val="2"/>
                <w:shd w:val="clear" w:color="auto" w:fill="F4F5F6"/>
              </w:rPr>
              <w:t xml:space="preserve"> </w:t>
            </w:r>
            <w:r w:rsidRPr="00F84D6F">
              <w:rPr>
                <w:color w:val="000000"/>
                <w:spacing w:val="2"/>
              </w:rPr>
              <w:t xml:space="preserve">деятельности составил 151,7 млрд. тенге 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t>получена прибыль в размере 17,8 миллион тенге</w:t>
            </w:r>
          </w:p>
          <w:p w:rsidR="00F24DFA" w:rsidRPr="00F84D6F" w:rsidRDefault="00F24DFA" w:rsidP="00BA341B">
            <w:pPr>
              <w:jc w:val="both"/>
              <w:rPr>
                <w:lang w:val="kk-KZ"/>
              </w:rPr>
            </w:pPr>
            <w:r w:rsidRPr="00F84D6F">
              <w:rPr>
                <w:lang w:val="kk-KZ"/>
              </w:rPr>
              <w:t>по предварительным данным</w:t>
            </w:r>
          </w:p>
          <w:p w:rsidR="00F24DFA" w:rsidRPr="00F84D6F" w:rsidRDefault="00F24DFA" w:rsidP="00BA341B">
            <w:pPr>
              <w:jc w:val="both"/>
              <w:rPr>
                <w:bCs/>
                <w:lang w:val="kk-KZ"/>
              </w:rPr>
            </w:pPr>
            <w:r w:rsidRPr="00F84D6F">
              <w:rPr>
                <w:bCs/>
                <w:lang w:val="kk-KZ"/>
              </w:rPr>
              <w:t>характеризуется стабильным снижением</w:t>
            </w:r>
          </w:p>
          <w:p w:rsidR="00F24DFA" w:rsidRPr="00F84D6F" w:rsidRDefault="00F24DFA" w:rsidP="00BA341B">
            <w:pPr>
              <w:jc w:val="both"/>
              <w:rPr>
                <w:color w:val="000000"/>
                <w:spacing w:val="2"/>
                <w:lang w:val="kk-KZ"/>
              </w:rPr>
            </w:pPr>
            <w:r w:rsidRPr="00F84D6F">
              <w:rPr>
                <w:color w:val="000000"/>
                <w:spacing w:val="2"/>
              </w:rPr>
              <w:t>что на 1,7 % больше показателя предыдущего год</w:t>
            </w:r>
            <w:r w:rsidRPr="00F84D6F">
              <w:rPr>
                <w:color w:val="000000"/>
                <w:spacing w:val="2"/>
                <w:lang w:val="kk-KZ"/>
              </w:rPr>
              <w:t>а</w:t>
            </w:r>
          </w:p>
          <w:p w:rsidR="00F24DFA" w:rsidRPr="00F84D6F" w:rsidRDefault="00F24DFA" w:rsidP="00BA341B">
            <w:pPr>
              <w:jc w:val="both"/>
              <w:rPr>
                <w:lang w:val="kk-KZ"/>
              </w:rPr>
            </w:pPr>
            <w:r w:rsidRPr="00F84D6F">
              <w:rPr>
                <w:color w:val="000000"/>
                <w:spacing w:val="2"/>
                <w:lang w:val="kk-KZ"/>
              </w:rPr>
              <w:t>п</w:t>
            </w:r>
            <w:r w:rsidRPr="00F84D6F">
              <w:rPr>
                <w:color w:val="000000"/>
                <w:spacing w:val="2"/>
              </w:rPr>
              <w:t>о состоянию на январь-сентябрь 201</w:t>
            </w:r>
            <w:r w:rsidRPr="00F84D6F">
              <w:rPr>
                <w:color w:val="000000"/>
                <w:spacing w:val="2"/>
                <w:lang w:val="kk-KZ"/>
              </w:rPr>
              <w:t>9</w:t>
            </w:r>
            <w:r w:rsidRPr="00F84D6F">
              <w:rPr>
                <w:color w:val="000000"/>
                <w:spacing w:val="2"/>
              </w:rPr>
              <w:t xml:space="preserve"> года функционировало 1 654 места размещения 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color w:val="000000"/>
                <w:spacing w:val="2"/>
              </w:rPr>
              <w:t xml:space="preserve">можно сделать вывод, что потенциал </w:t>
            </w:r>
            <w:r w:rsidRPr="00F84D6F">
              <w:rPr>
                <w:color w:val="000000"/>
                <w:spacing w:val="2"/>
                <w:lang w:val="kk-KZ"/>
              </w:rPr>
              <w:t>этой сферы экономики</w:t>
            </w:r>
            <w:r w:rsidRPr="00F84D6F">
              <w:rPr>
                <w:color w:val="000000"/>
                <w:spacing w:val="2"/>
              </w:rPr>
              <w:t xml:space="preserve"> не реализуется полностью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lang w:val="kk-KZ"/>
              </w:rPr>
              <w:t xml:space="preserve">чистый доход по итогам деятельности 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lang w:val="kk-KZ"/>
              </w:rPr>
              <w:t xml:space="preserve">на 26 </w:t>
            </w:r>
            <w:r w:rsidRPr="00F84D6F">
              <w:t xml:space="preserve">% </w:t>
            </w:r>
            <w:r w:rsidRPr="00F84D6F">
              <w:rPr>
                <w:lang w:val="kk-KZ"/>
              </w:rPr>
              <w:t>больше чем за 2019 год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lang w:val="kk-KZ"/>
              </w:rPr>
              <w:t xml:space="preserve">ожидается что уровень безработицы уменьшится на 7-8 </w:t>
            </w:r>
            <w:r w:rsidRPr="00F84D6F">
              <w:t>%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rPr>
                <w:lang w:val="kk-KZ"/>
              </w:rPr>
              <w:t>по итогам работы компании в 2018 году и планам на текущий год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lang w:val="kk-KZ"/>
              </w:rPr>
            </w:pPr>
            <w:r w:rsidRPr="00F84D6F">
              <w:t>финансово-хозяйственная деятельность за отчетный период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bCs/>
                <w:iCs/>
                <w:lang w:val="kk-KZ"/>
              </w:rPr>
            </w:pPr>
            <w:r w:rsidRPr="00F84D6F">
              <w:rPr>
                <w:bCs/>
                <w:iCs/>
              </w:rPr>
              <w:t>по итогам 201</w:t>
            </w:r>
            <w:r w:rsidRPr="00F84D6F">
              <w:rPr>
                <w:bCs/>
                <w:iCs/>
                <w:lang w:val="kk-KZ"/>
              </w:rPr>
              <w:t>9</w:t>
            </w:r>
            <w:r w:rsidRPr="00F84D6F">
              <w:rPr>
                <w:bCs/>
                <w:iCs/>
              </w:rPr>
              <w:t xml:space="preserve"> г. общая протяженность линий электропередач составила 69 203 км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bCs/>
                <w:color w:val="000000"/>
                <w:lang w:val="kk-KZ"/>
              </w:rPr>
            </w:pPr>
            <w:r w:rsidRPr="00F84D6F">
              <w:rPr>
                <w:bCs/>
                <w:color w:val="000000"/>
              </w:rPr>
              <w:t>доход от реализации продукции и оказания услуг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iCs/>
                <w:lang w:val="kk-KZ"/>
              </w:rPr>
            </w:pPr>
            <w:r w:rsidRPr="00F84D6F">
              <w:t xml:space="preserve">объемы передачи электроэнергии </w:t>
            </w:r>
            <w:r w:rsidRPr="00F84D6F">
              <w:rPr>
                <w:iCs/>
              </w:rPr>
              <w:t xml:space="preserve">составили 12 117,6 </w:t>
            </w:r>
            <w:proofErr w:type="gramStart"/>
            <w:r w:rsidRPr="00F84D6F">
              <w:rPr>
                <w:iCs/>
              </w:rPr>
              <w:t>млн</w:t>
            </w:r>
            <w:proofErr w:type="gramEnd"/>
            <w:r w:rsidRPr="00F84D6F">
              <w:rPr>
                <w:iCs/>
              </w:rPr>
              <w:t xml:space="preserve"> </w:t>
            </w:r>
            <w:proofErr w:type="spellStart"/>
            <w:r w:rsidRPr="00F84D6F">
              <w:rPr>
                <w:iCs/>
              </w:rPr>
              <w:t>кВтч</w:t>
            </w:r>
            <w:proofErr w:type="spellEnd"/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rFonts w:ascii="Times New Roman KK EK" w:hAnsi="Times New Roman KK EK"/>
                <w:lang w:val="kk-KZ"/>
              </w:rPr>
            </w:pPr>
            <w:r w:rsidRPr="00F84D6F">
              <w:rPr>
                <w:rFonts w:ascii="Times New Roman KK EK" w:hAnsi="Times New Roman KK EK"/>
                <w:lang w:val="kk-KZ"/>
              </w:rPr>
              <w:t>объем импорта составил 1,9 млрд кВт ч,</w:t>
            </w:r>
            <w:r w:rsidRPr="00F84D6F">
              <w:rPr>
                <w:rFonts w:ascii="Times New Roman KK EK" w:hAnsi="Times New Roman KK EK"/>
                <w:b/>
                <w:lang w:val="kk-KZ"/>
              </w:rPr>
              <w:t xml:space="preserve"> что</w:t>
            </w:r>
            <w:r w:rsidRPr="00F84D6F">
              <w:rPr>
                <w:rFonts w:ascii="Times New Roman KK EK" w:hAnsi="Times New Roman KK EK"/>
                <w:lang w:val="kk-KZ"/>
              </w:rPr>
              <w:t xml:space="preserve"> </w:t>
            </w:r>
            <w:r w:rsidRPr="00F84D6F">
              <w:rPr>
                <w:rFonts w:ascii="Times New Roman KK EK" w:hAnsi="Times New Roman KK EK"/>
                <w:b/>
                <w:lang w:val="kk-KZ"/>
              </w:rPr>
              <w:t>соответствует</w:t>
            </w:r>
            <w:r w:rsidRPr="00F84D6F">
              <w:rPr>
                <w:rFonts w:ascii="Times New Roman KK EK" w:hAnsi="Times New Roman KK EK"/>
                <w:lang w:val="kk-KZ"/>
              </w:rPr>
              <w:t xml:space="preserve"> уровню 2018 года</w:t>
            </w:r>
          </w:p>
          <w:p w:rsidR="00F24DFA" w:rsidRDefault="00F24DFA" w:rsidP="00BA341B">
            <w:pPr>
              <w:pStyle w:val="src"/>
              <w:spacing w:before="0" w:beforeAutospacing="0" w:after="0" w:afterAutospacing="0"/>
              <w:rPr>
                <w:rFonts w:ascii="Times New Roman KK EK" w:hAnsi="Times New Roman KK EK"/>
                <w:lang w:val="kk-KZ"/>
              </w:rPr>
            </w:pPr>
            <w:r w:rsidRPr="00F84D6F">
              <w:rPr>
                <w:rFonts w:ascii="Times New Roman KK EK" w:hAnsi="Times New Roman KK EK"/>
                <w:lang w:val="kk-KZ"/>
              </w:rPr>
              <w:t xml:space="preserve">в 2019 году освоено </w:t>
            </w:r>
            <w:r w:rsidRPr="00F84D6F">
              <w:rPr>
                <w:rFonts w:ascii="Times New Roman KK EK" w:hAnsi="Times New Roman KK EK"/>
                <w:b/>
                <w:lang w:val="kk-KZ"/>
              </w:rPr>
              <w:t>порядка</w:t>
            </w:r>
            <w:r w:rsidRPr="00F84D6F">
              <w:rPr>
                <w:rFonts w:ascii="Times New Roman KK EK" w:hAnsi="Times New Roman KK EK"/>
                <w:lang w:val="kk-KZ"/>
              </w:rPr>
              <w:t xml:space="preserve"> 7,4 млрд. тенге капитальных вложений компании</w:t>
            </w: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rFonts w:ascii="Times New Roman KK EK" w:hAnsi="Times New Roman KK EK"/>
                <w:lang w:val="kk-KZ"/>
              </w:rPr>
            </w:pP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iCs/>
                <w:lang w:val="kk-KZ"/>
              </w:rPr>
            </w:pPr>
          </w:p>
          <w:p w:rsidR="00F24DFA" w:rsidRPr="00F84D6F" w:rsidRDefault="00F24DFA" w:rsidP="00BA341B">
            <w:pPr>
              <w:pStyle w:val="src"/>
              <w:spacing w:before="0" w:beforeAutospacing="0" w:after="0" w:afterAutospacing="0"/>
              <w:rPr>
                <w:rStyle w:val="a4"/>
                <w:iCs/>
                <w:color w:val="000000" w:themeColor="text1"/>
                <w:lang w:val="kk-KZ"/>
              </w:rPr>
            </w:pPr>
          </w:p>
        </w:tc>
      </w:tr>
      <w:tr w:rsidR="00F24DFA" w:rsidRPr="003C68F8" w:rsidTr="00BA341B">
        <w:tc>
          <w:tcPr>
            <w:tcW w:w="11483" w:type="dxa"/>
            <w:gridSpan w:val="3"/>
          </w:tcPr>
          <w:p w:rsidR="00F24DFA" w:rsidRPr="00527B34" w:rsidRDefault="00F24DFA" w:rsidP="00BA341B">
            <w:pPr>
              <w:jc w:val="center"/>
              <w:rPr>
                <w:rFonts w:ascii="Times New Roman KK EK" w:hAnsi="Times New Roman KK EK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527B34">
              <w:rPr>
                <w:rFonts w:ascii="Times New Roman KK EK" w:hAnsi="Times New Roman KK EK"/>
                <w:b/>
                <w:bCs/>
                <w:i/>
                <w:iCs/>
                <w:sz w:val="28"/>
                <w:szCs w:val="28"/>
                <w:lang w:val="kk-KZ"/>
              </w:rPr>
              <w:t>Статистикалық мәлімет беру, салыстыру, деректер мен фактілерді пайдалануда кездесетін тіркестерге назар аударыңыз</w:t>
            </w:r>
          </w:p>
          <w:p w:rsidR="00F24DFA" w:rsidRPr="003C68F8" w:rsidRDefault="00F24DFA" w:rsidP="00BA341B">
            <w:pPr>
              <w:pStyle w:val="src"/>
              <w:spacing w:before="0" w:beforeAutospacing="0" w:after="0" w:afterAutospacing="0"/>
              <w:rPr>
                <w:rFonts w:ascii="Times New Roman KK EK" w:hAnsi="Times New Roman KK EK"/>
                <w:lang w:val="kk-KZ"/>
              </w:rPr>
            </w:pPr>
          </w:p>
        </w:tc>
      </w:tr>
      <w:tr w:rsidR="00F24DFA" w:rsidRPr="00E21449" w:rsidTr="00BA341B">
        <w:tc>
          <w:tcPr>
            <w:tcW w:w="11483" w:type="dxa"/>
            <w:gridSpan w:val="3"/>
          </w:tcPr>
          <w:p w:rsidR="00F24DFA" w:rsidRPr="00E21449" w:rsidRDefault="00F24DFA" w:rsidP="00BA341B">
            <w:pPr>
              <w:jc w:val="both"/>
              <w:rPr>
                <w:lang w:val="kk-KZ"/>
              </w:rPr>
            </w:pPr>
            <w:r w:rsidRPr="00E21449">
              <w:rPr>
                <w:lang w:val="kk-KZ"/>
              </w:rPr>
              <w:t>статистика агенттігінің оперативті мәліметтері бойынша</w:t>
            </w:r>
          </w:p>
          <w:p w:rsidR="00F24DFA" w:rsidRPr="00E21449" w:rsidRDefault="00F24DFA" w:rsidP="00BA341B">
            <w:pPr>
              <w:jc w:val="both"/>
              <w:rPr>
                <w:lang w:val="kk-KZ"/>
              </w:rPr>
            </w:pPr>
            <w:r w:rsidRPr="00E21449">
              <w:rPr>
                <w:lang w:val="kk-KZ"/>
              </w:rPr>
              <w:t xml:space="preserve">алдын ала алынған деректер бойынша </w:t>
            </w:r>
          </w:p>
          <w:p w:rsidR="00F24DFA" w:rsidRPr="00E21449" w:rsidRDefault="00F24DFA" w:rsidP="00BA341B">
            <w:pPr>
              <w:jc w:val="both"/>
              <w:rPr>
                <w:lang w:val="kk-KZ"/>
              </w:rPr>
            </w:pPr>
            <w:r w:rsidRPr="00E21449">
              <w:rPr>
                <w:lang w:val="kk-KZ"/>
              </w:rPr>
              <w:t>Экономика және бюджеттік жос</w:t>
            </w:r>
            <w:r w:rsidRPr="00E21449">
              <w:rPr>
                <w:lang w:val="kk-KZ"/>
              </w:rPr>
              <w:softHyphen/>
              <w:t>пар</w:t>
            </w:r>
            <w:r w:rsidRPr="00E21449">
              <w:rPr>
                <w:lang w:val="kk-KZ"/>
              </w:rPr>
              <w:softHyphen/>
              <w:t>лау министрлігінің бағалауы бойын</w:t>
            </w:r>
            <w:r w:rsidRPr="00E21449">
              <w:rPr>
                <w:lang w:val="kk-KZ"/>
              </w:rPr>
              <w:softHyphen/>
              <w:t>ша</w:t>
            </w:r>
          </w:p>
          <w:p w:rsidR="00F24DFA" w:rsidRPr="00E21449" w:rsidRDefault="00F24DFA" w:rsidP="00BA341B">
            <w:pPr>
              <w:jc w:val="both"/>
              <w:rPr>
                <w:lang w:val="kk-KZ"/>
              </w:rPr>
            </w:pPr>
            <w:r w:rsidRPr="00E21449">
              <w:rPr>
                <w:lang w:val="kk-KZ"/>
              </w:rPr>
              <w:t>Қазақстан халқы есеп-санағының деректері бойынша</w:t>
            </w:r>
          </w:p>
          <w:p w:rsidR="00F24DFA" w:rsidRPr="00E21449" w:rsidRDefault="00F24DFA" w:rsidP="00BA341B">
            <w:pPr>
              <w:jc w:val="both"/>
              <w:rPr>
                <w:lang w:val="kk-KZ"/>
              </w:rPr>
            </w:pPr>
            <w:r w:rsidRPr="00E21449">
              <w:rPr>
                <w:lang w:val="kk-KZ"/>
              </w:rPr>
              <w:t>биыл атқарылған жұмыстардың есебі бойынша</w:t>
            </w:r>
          </w:p>
          <w:p w:rsidR="00F24DFA" w:rsidRPr="00E21449" w:rsidRDefault="00F24DFA" w:rsidP="00BA341B">
            <w:pPr>
              <w:jc w:val="both"/>
              <w:rPr>
                <w:rFonts w:ascii="Times New Roman KK EK" w:hAnsi="Times New Roman KK EK"/>
                <w:b/>
                <w:bCs/>
                <w:i/>
                <w:iCs/>
                <w:lang w:val="kk-KZ"/>
              </w:rPr>
            </w:pPr>
          </w:p>
        </w:tc>
      </w:tr>
      <w:tr w:rsidR="00F24DFA" w:rsidRPr="00E21449" w:rsidTr="00BA341B">
        <w:tc>
          <w:tcPr>
            <w:tcW w:w="5741" w:type="dxa"/>
            <w:gridSpan w:val="2"/>
          </w:tcPr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t xml:space="preserve">жылдан жылға </w:t>
            </w:r>
          </w:p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t xml:space="preserve">жыл сайын/ тоқсан сайын/ ай сайын </w:t>
            </w:r>
          </w:p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t xml:space="preserve">3 жыл бойы/ 3 жыл қатарынан </w:t>
            </w:r>
          </w:p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t>биыл/ осы жылы/ үстіміздегі жылы</w:t>
            </w:r>
          </w:p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t xml:space="preserve">былтыр </w:t>
            </w:r>
          </w:p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t>екі жылдан кейін</w:t>
            </w:r>
          </w:p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lastRenderedPageBreak/>
              <w:t>өткен жылмен салыстырғанда</w:t>
            </w:r>
          </w:p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t>өткен жылдың осы кезеңімен салыстырғанда</w:t>
            </w:r>
          </w:p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t>келесі жылы</w:t>
            </w:r>
          </w:p>
        </w:tc>
        <w:tc>
          <w:tcPr>
            <w:tcW w:w="5742" w:type="dxa"/>
          </w:tcPr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lastRenderedPageBreak/>
              <w:t>өсіп келеді</w:t>
            </w:r>
          </w:p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t>артуда / көбеюде</w:t>
            </w:r>
          </w:p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t>көбейіп келеді/артып келеді</w:t>
            </w:r>
          </w:p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t>көрсеткіш жақсара түсуде</w:t>
            </w:r>
          </w:p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t>пайызға өсті/ ұлғайды</w:t>
            </w:r>
          </w:p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t>пайызға азайды / кеміді</w:t>
            </w:r>
          </w:p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lastRenderedPageBreak/>
              <w:t>төмендеді / түсті</w:t>
            </w:r>
          </w:p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t>бірте-бірте көтеріліп келеді</w:t>
            </w:r>
          </w:p>
          <w:p w:rsidR="00F24DFA" w:rsidRPr="00E21449" w:rsidRDefault="00F24DFA" w:rsidP="00BA341B">
            <w:pPr>
              <w:rPr>
                <w:lang w:val="kk-KZ"/>
              </w:rPr>
            </w:pPr>
            <w:r w:rsidRPr="00E21449">
              <w:rPr>
                <w:lang w:val="kk-KZ"/>
              </w:rPr>
              <w:t>жоғарылайды деп күтілуде</w:t>
            </w:r>
          </w:p>
          <w:p w:rsidR="00F24DFA" w:rsidRPr="00E21449" w:rsidRDefault="00F24DFA" w:rsidP="00BA341B">
            <w:pPr>
              <w:rPr>
                <w:lang w:val="kk-KZ"/>
              </w:rPr>
            </w:pPr>
          </w:p>
        </w:tc>
      </w:tr>
    </w:tbl>
    <w:p w:rsidR="000233C3" w:rsidRDefault="000233C3">
      <w:bookmarkStart w:id="0" w:name="_GoBack"/>
      <w:bookmarkEnd w:id="0"/>
    </w:p>
    <w:sectPr w:rsidR="0002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E2"/>
    <w:rsid w:val="00000648"/>
    <w:rsid w:val="000008EE"/>
    <w:rsid w:val="000010AC"/>
    <w:rsid w:val="000014D3"/>
    <w:rsid w:val="00001F38"/>
    <w:rsid w:val="000033AF"/>
    <w:rsid w:val="00004DEA"/>
    <w:rsid w:val="00005F63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628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2BEC"/>
    <w:rsid w:val="002430F7"/>
    <w:rsid w:val="00243541"/>
    <w:rsid w:val="002438B5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41D4"/>
    <w:rsid w:val="0026499B"/>
    <w:rsid w:val="00265F18"/>
    <w:rsid w:val="00270AEA"/>
    <w:rsid w:val="00270CFE"/>
    <w:rsid w:val="00271E6B"/>
    <w:rsid w:val="00271ECE"/>
    <w:rsid w:val="00272598"/>
    <w:rsid w:val="002739B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BB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3B69"/>
    <w:rsid w:val="005A5215"/>
    <w:rsid w:val="005A6339"/>
    <w:rsid w:val="005A694D"/>
    <w:rsid w:val="005A7053"/>
    <w:rsid w:val="005A74E6"/>
    <w:rsid w:val="005A7D46"/>
    <w:rsid w:val="005B033C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09DB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30FB8"/>
    <w:rsid w:val="008311D6"/>
    <w:rsid w:val="00831D21"/>
    <w:rsid w:val="008327B0"/>
    <w:rsid w:val="008335ED"/>
    <w:rsid w:val="008347BC"/>
    <w:rsid w:val="00834CE3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2590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FF0"/>
    <w:rsid w:val="00A0014A"/>
    <w:rsid w:val="00A00428"/>
    <w:rsid w:val="00A018F1"/>
    <w:rsid w:val="00A0241E"/>
    <w:rsid w:val="00A026D1"/>
    <w:rsid w:val="00A02B97"/>
    <w:rsid w:val="00A033E2"/>
    <w:rsid w:val="00A104C0"/>
    <w:rsid w:val="00A1322D"/>
    <w:rsid w:val="00A1493F"/>
    <w:rsid w:val="00A1558B"/>
    <w:rsid w:val="00A156DB"/>
    <w:rsid w:val="00A16623"/>
    <w:rsid w:val="00A16A36"/>
    <w:rsid w:val="00A172CE"/>
    <w:rsid w:val="00A17319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4402"/>
    <w:rsid w:val="00A658B6"/>
    <w:rsid w:val="00A66483"/>
    <w:rsid w:val="00A6683B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666D"/>
    <w:rsid w:val="00A866AC"/>
    <w:rsid w:val="00A8687B"/>
    <w:rsid w:val="00A90A5A"/>
    <w:rsid w:val="00A90D2A"/>
    <w:rsid w:val="00A9178F"/>
    <w:rsid w:val="00A91EA3"/>
    <w:rsid w:val="00A91F69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250B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4DFA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33E2"/>
    <w:rsid w:val="00FC438D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24DFA"/>
    <w:rPr>
      <w:color w:val="0000FF"/>
      <w:u w:val="single"/>
    </w:rPr>
  </w:style>
  <w:style w:type="paragraph" w:customStyle="1" w:styleId="src">
    <w:name w:val="src"/>
    <w:basedOn w:val="a"/>
    <w:rsid w:val="00F24D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24DFA"/>
    <w:rPr>
      <w:color w:val="0000FF"/>
      <w:u w:val="single"/>
    </w:rPr>
  </w:style>
  <w:style w:type="paragraph" w:customStyle="1" w:styleId="src">
    <w:name w:val="src"/>
    <w:basedOn w:val="a"/>
    <w:rsid w:val="00F24D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2573</Characters>
  <Application>Microsoft Office Word</Application>
  <DocSecurity>0</DocSecurity>
  <Lines>21</Lines>
  <Paragraphs>6</Paragraphs>
  <ScaleCrop>false</ScaleCrop>
  <Company>Hewlett-Packard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2020-06-11T14:13:00Z</dcterms:created>
  <dcterms:modified xsi:type="dcterms:W3CDTF">2020-06-11T14:13:00Z</dcterms:modified>
</cp:coreProperties>
</file>